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37" w:rsidRDefault="005D6AAC" w:rsidP="000D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-194945</wp:posOffset>
                </wp:positionV>
                <wp:extent cx="1171575" cy="4286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AC" w:rsidRPr="005D6AAC" w:rsidRDefault="005D6AAC" w:rsidP="005D6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6A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661.05pt;margin-top:-15.35pt;width:92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" fillcolor="white [3201]" stroked="f" strokeweight="2pt">
                <v:textbox>
                  <w:txbxContent>
                    <w:p w:rsidR="005D6AAC" w:rsidRPr="005D6AAC" w:rsidRDefault="005D6AAC" w:rsidP="005D6A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6A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D4137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D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DF0" w:rsidRPr="00832DF0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</w:p>
    <w:p w:rsidR="000D4137" w:rsidRPr="000D4137" w:rsidRDefault="000D4137" w:rsidP="000D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C10D0">
        <w:rPr>
          <w:rFonts w:ascii="Times New Roman" w:hAnsi="Times New Roman" w:cs="Times New Roman"/>
          <w:b/>
          <w:sz w:val="24"/>
          <w:szCs w:val="24"/>
        </w:rPr>
        <w:t xml:space="preserve">поставленных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 w:rsidRPr="000D4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 развития</w:t>
      </w:r>
      <w:r w:rsidRPr="000D4137">
        <w:rPr>
          <w:rFonts w:ascii="Times New Roman" w:hAnsi="Times New Roman" w:cs="Times New Roman"/>
          <w:b/>
          <w:sz w:val="24"/>
          <w:szCs w:val="24"/>
        </w:rPr>
        <w:t xml:space="preserve"> системы квалификаций</w:t>
      </w:r>
    </w:p>
    <w:p w:rsidR="00832DF0" w:rsidRPr="00832DF0" w:rsidRDefault="000D4137" w:rsidP="000D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области обеспечения безопасности в чрезвычайных ситуациях</w:t>
      </w:r>
    </w:p>
    <w:tbl>
      <w:tblPr>
        <w:tblW w:w="15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01"/>
        <w:gridCol w:w="20"/>
        <w:gridCol w:w="4634"/>
        <w:gridCol w:w="4111"/>
        <w:gridCol w:w="1417"/>
        <w:gridCol w:w="1905"/>
      </w:tblGrid>
      <w:tr w:rsidR="00832DF0" w:rsidRPr="003F0290" w:rsidTr="00F53AC7">
        <w:trPr>
          <w:jc w:val="center"/>
        </w:trPr>
        <w:tc>
          <w:tcPr>
            <w:tcW w:w="518" w:type="dxa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21" w:type="dxa"/>
            <w:gridSpan w:val="2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F0290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634" w:type="dxa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F0290">
              <w:rPr>
                <w:rFonts w:ascii="Times New Roman" w:hAnsi="Times New Roman" w:cs="Times New Roman"/>
                <w:sz w:val="24"/>
              </w:rPr>
              <w:t>Вид документа и (или) необходимые меры</w:t>
            </w:r>
          </w:p>
        </w:tc>
        <w:tc>
          <w:tcPr>
            <w:tcW w:w="4111" w:type="dxa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F0290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F0290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1905" w:type="dxa"/>
            <w:vAlign w:val="center"/>
          </w:tcPr>
          <w:p w:rsidR="00832DF0" w:rsidRPr="003F0290" w:rsidRDefault="00832DF0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F0290">
              <w:rPr>
                <w:rFonts w:ascii="Times New Roman" w:hAnsi="Times New Roman" w:cs="Times New Roman"/>
                <w:sz w:val="24"/>
              </w:rPr>
              <w:t>Исполнитель (соисполнители)</w:t>
            </w:r>
          </w:p>
        </w:tc>
      </w:tr>
      <w:tr w:rsidR="00F53AC7" w:rsidRPr="005D6AAC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стратегии развития кадрового потенциала в рамках отрасли</w:t>
            </w: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разработка стратегии развития кадрового потенциала с внедрением независимой оценки квалификаций.</w:t>
            </w:r>
          </w:p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Политика развития кадрового потенциала в области обеспечения безопасности в ЧС с внедрением системы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независимой  оценки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квалификаций.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Согласованная со всеми крупными работодателями и органами исполнительной власти  реализация политики.</w:t>
            </w:r>
          </w:p>
        </w:tc>
        <w:tc>
          <w:tcPr>
            <w:tcW w:w="1417" w:type="dxa"/>
            <w:vAlign w:val="center"/>
          </w:tcPr>
          <w:p w:rsidR="00F53AC7" w:rsidRPr="002B0F2F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квартал 2018 г</w:t>
            </w: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СПК</w:t>
            </w: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B3400F" w:rsidRPr="00B3400F" w:rsidRDefault="00F53AC7" w:rsidP="00B3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0287">
              <w:rPr>
                <w:rFonts w:ascii="Times New Roman" w:hAnsi="Times New Roman" w:cs="Times New Roman"/>
                <w:sz w:val="24"/>
              </w:rPr>
              <w:t xml:space="preserve">Участие СПК в коллегии по разработке Концепции развития кадрового потенциала </w:t>
            </w:r>
            <w:r w:rsidR="00B3400F" w:rsidRPr="00B3400F">
              <w:rPr>
                <w:rFonts w:ascii="Times New Roman" w:hAnsi="Times New Roman" w:cs="Times New Roman"/>
                <w:sz w:val="24"/>
              </w:rPr>
              <w:t>в области обеспечения безопасности в чрезвычайных ситуациях</w:t>
            </w:r>
          </w:p>
          <w:p w:rsidR="00F53AC7" w:rsidRPr="00FC0287" w:rsidRDefault="00F53AC7" w:rsidP="00B3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0287">
              <w:rPr>
                <w:rFonts w:ascii="Times New Roman" w:hAnsi="Times New Roman" w:cs="Times New Roman"/>
                <w:sz w:val="24"/>
              </w:rPr>
              <w:t>на 2020-2025 гг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0F2F">
              <w:rPr>
                <w:rFonts w:ascii="Times New Roman" w:hAnsi="Times New Roman" w:cs="Times New Roman"/>
                <w:sz w:val="24"/>
              </w:rPr>
              <w:t>Повышение требований к квалификации кадров в секторах экономики, связанных с обеспечением безопасности жизни и здоровья граждан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рабочей группы по внесению изменений в НПА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00F">
              <w:rPr>
                <w:rFonts w:ascii="Times New Roman" w:hAnsi="Times New Roman" w:cs="Times New Roman"/>
                <w:sz w:val="24"/>
                <w:szCs w:val="24"/>
              </w:rPr>
              <w:t>по изменению</w:t>
            </w: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в законодательство, предусматривающие упорядочение регулирование допуска к профессии, совершенствование правил и процедур подтверждения права на ведение профессиональной деятельности, а также периодического подтверждения работником профессиональной пригодности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рабочей группы по разработке Предложений для Проекта  постановления Правительства Российской Федерации проекту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0287">
              <w:rPr>
                <w:rFonts w:ascii="Times New Roman" w:hAnsi="Times New Roman" w:cs="Times New Roman"/>
                <w:sz w:val="24"/>
              </w:rPr>
              <w:t>Введено обязательное применение профессиональных стандартов, независимой оценки квалификации по отдельным видам профессиональной деятельности, связанным с обеспечением безопасности</w:t>
            </w:r>
            <w:r w:rsidRPr="00092DB1">
              <w:rPr>
                <w:rFonts w:ascii="Times New Roman" w:hAnsi="Times New Roman" w:cs="Times New Roman"/>
                <w:sz w:val="24"/>
              </w:rPr>
              <w:t xml:space="preserve"> жизн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92DB1">
              <w:rPr>
                <w:rFonts w:ascii="Times New Roman" w:hAnsi="Times New Roman" w:cs="Times New Roman"/>
                <w:sz w:val="24"/>
              </w:rPr>
              <w:t xml:space="preserve"> и здоровь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092DB1">
              <w:rPr>
                <w:rFonts w:ascii="Times New Roman" w:hAnsi="Times New Roman" w:cs="Times New Roman"/>
                <w:sz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280BB2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квалификаций отрасли</w:t>
            </w: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квалификационных характеристик, существующих в отрасли, создание структурно-логической отраслевой карты квалификаций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структурно-логическая карта отраслевых квалификаций с целью определения разработки необходимых профессиональных стандартов и  выявления сквозных профессиональных стандартов и квалификаций.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взаимодействия с другими СПК по сквозным профессиональным стандартам и разработке отраслевых рамок квалификаций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Оптимизированы </w:t>
            </w:r>
            <w:r w:rsidRPr="00E27EE0">
              <w:rPr>
                <w:rFonts w:ascii="Times New Roman" w:hAnsi="Times New Roman" w:cs="Times New Roman"/>
                <w:sz w:val="24"/>
                <w:szCs w:val="24"/>
              </w:rPr>
              <w:t>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закрепления сквозных профессиональных стандартов за СПК и совместного ведения оценки квалификаций</w:t>
            </w:r>
            <w:r w:rsidRPr="00E27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E27EE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изменений организационного характера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СПК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отраслевых рамок квалификаций, с учетом сквозных квалификаций.</w:t>
            </w:r>
          </w:p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внесению изменений в  </w:t>
            </w:r>
            <w:r w:rsidRPr="00F07466">
              <w:rPr>
                <w:rFonts w:ascii="Times New Roman" w:hAnsi="Times New Roman" w:cs="Times New Roman"/>
                <w:sz w:val="24"/>
              </w:rPr>
              <w:t>Положение о разработке наименований квалификаций и требований к квалификации, на соответствие которым проводится независимая оценка квалификации</w:t>
            </w:r>
          </w:p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замена квалификационных требований предыдущего поколения на новые профессиональные стандарты и квалификации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развития </w:t>
            </w: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>системы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обеспечения безопасности в ЧС</w:t>
            </w: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Pr="00794C29">
              <w:rPr>
                <w:rFonts w:ascii="Times New Roman" w:hAnsi="Times New Roman" w:cs="Times New Roman"/>
                <w:sz w:val="24"/>
                <w:szCs w:val="24"/>
              </w:rPr>
              <w:t>профессиональных и квалификационных стандартов, экспертизе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стандартов, примерных основных образовательных программ и разработке оценочных средств; профессионально-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итации образовательных программ;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квалификаций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повышения квалификации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 график обучения и аттестации экспертов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Реестр экспертов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обучения специалистов по управлению персоналом предприятий и организаций по вопросам применения национальной системы квалификаций на базе региональных ЦОК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0DF1">
              <w:rPr>
                <w:rFonts w:ascii="Times New Roman" w:hAnsi="Times New Roman" w:cs="Times New Roman"/>
                <w:sz w:val="24"/>
                <w:szCs w:val="24"/>
              </w:rPr>
              <w:t>Работодателям предоставляется методическая поддержка по применению профессиональных стандартов при управлении персоналом, в том числе для тарификации работ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4.1.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международного сотрудничества в рамках реализации системы независимой оценки квалификаций</w:t>
            </w: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по анализу и сопоставлению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квалификаций, наиболее востребованных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миграционного обмена между странами государствами – участницами ЕАЭС и СНГ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 поддерживается в актуальном состоянии база данных квалификаций</w:t>
            </w:r>
            <w:r w:rsidRPr="00F44754">
              <w:rPr>
                <w:rFonts w:ascii="Times New Roman" w:hAnsi="Times New Roman" w:cs="Times New Roman"/>
                <w:sz w:val="24"/>
                <w:szCs w:val="24"/>
              </w:rPr>
              <w:t>, наиболее востребованных в рамках</w:t>
            </w: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54">
              <w:rPr>
                <w:rFonts w:ascii="Times New Roman" w:hAnsi="Times New Roman" w:cs="Times New Roman"/>
                <w:sz w:val="24"/>
                <w:szCs w:val="24"/>
              </w:rPr>
              <w:t>миграционного обмена между странами государствами – участницами ЕАЭС и СНГ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проектов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двухсторонних соглашений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гармонизации применения системы оценки квалификаций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хронизированы требования к квалификации</w:t>
            </w: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государств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экзаменационных центров на территории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участниц ЕАЭС и СНГ по квалификациям</w:t>
            </w:r>
            <w:r w:rsidRPr="00D90926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с повышенным </w:t>
            </w:r>
            <w:r w:rsidRPr="001E1656">
              <w:rPr>
                <w:rFonts w:ascii="Times New Roman" w:hAnsi="Times New Roman" w:cs="Times New Roman"/>
                <w:sz w:val="24"/>
                <w:szCs w:val="24"/>
              </w:rPr>
              <w:t>риском для безопасности и отличающимся высоким уровнем миграционного обмена.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привлекаемой из-за рубежа иностранной рабочей силы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 поддержка сети</w:t>
            </w:r>
            <w:r w:rsidRPr="003D791A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3D791A">
              <w:rPr>
                <w:rFonts w:ascii="Times New Roman" w:hAnsi="Times New Roman" w:cs="Times New Roman"/>
                <w:sz w:val="24"/>
              </w:rPr>
              <w:t xml:space="preserve"> оценки квалификаций</w:t>
            </w: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отраслевых и </w:t>
            </w:r>
            <w:r w:rsidRPr="005D6F3F">
              <w:rPr>
                <w:rFonts w:ascii="Times New Roman" w:hAnsi="Times New Roman" w:cs="Times New Roman"/>
                <w:sz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5D6F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D6F3F">
              <w:rPr>
                <w:rFonts w:ascii="Times New Roman" w:hAnsi="Times New Roman" w:cs="Times New Roman"/>
                <w:sz w:val="24"/>
              </w:rPr>
              <w:t xml:space="preserve">рограмм развития </w:t>
            </w:r>
            <w:r>
              <w:rPr>
                <w:rFonts w:ascii="Times New Roman" w:hAnsi="Times New Roman" w:cs="Times New Roman"/>
                <w:sz w:val="24"/>
              </w:rPr>
              <w:t>сети ц</w:t>
            </w:r>
            <w:r w:rsidRPr="005D6F3F">
              <w:rPr>
                <w:rFonts w:ascii="Times New Roman" w:hAnsi="Times New Roman" w:cs="Times New Roman"/>
                <w:sz w:val="24"/>
              </w:rPr>
              <w:t>ентров оценки квалификаций</w:t>
            </w:r>
            <w:r>
              <w:rPr>
                <w:rFonts w:ascii="Times New Roman" w:hAnsi="Times New Roman" w:cs="Times New Roman"/>
                <w:sz w:val="24"/>
              </w:rPr>
              <w:t xml:space="preserve"> в отрасли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не менее 2 ЦОК 2018 год</w:t>
            </w:r>
          </w:p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не менее 30 ЦОК 2019 год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рабочих групп для разработки оценочных средств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оценочных средств по отраслевой рамке квалификаций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единым программным ресурсом по оценке квалификаций на теоретическом этапе экзамена.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формирование системы «Прометей» оценочными средствами по оценке квалификаций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5.4.</w:t>
            </w:r>
          </w:p>
        </w:tc>
        <w:tc>
          <w:tcPr>
            <w:tcW w:w="2601" w:type="dxa"/>
            <w:vMerge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Pr="003F0290" w:rsidRDefault="00F53AC7" w:rsidP="006C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дистанционных форм прохождения теоретической </w:t>
            </w:r>
            <w:r w:rsidR="006C03D3">
              <w:rPr>
                <w:rFonts w:ascii="Times New Roman" w:hAnsi="Times New Roman" w:cs="Times New Roman"/>
                <w:sz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</w:rPr>
              <w:t>профессионального экзамена</w:t>
            </w:r>
          </w:p>
        </w:tc>
        <w:tc>
          <w:tcPr>
            <w:tcW w:w="4111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Соискатели имеют возможность прохождения теоретической </w:t>
            </w:r>
            <w:r w:rsidR="006C03D3">
              <w:rPr>
                <w:rFonts w:ascii="Times New Roman" w:hAnsi="Times New Roman" w:cs="Times New Roman"/>
                <w:sz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профессионального экзамена в режиме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2601" w:type="dxa"/>
            <w:vMerge w:val="restart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системы </w:t>
            </w:r>
            <w:r w:rsidRPr="004B7F70">
              <w:rPr>
                <w:rFonts w:ascii="Times New Roman" w:hAnsi="Times New Roman" w:cs="Times New Roman"/>
                <w:sz w:val="24"/>
              </w:rPr>
              <w:t>подготовки кадров в соответствие с изменяющимися требованиями рынка</w:t>
            </w: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методической поддержки образовательных организаций и организаций ведущих образовательную деятельность по применению профессиональных стандартов в проектировании образовательных программ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профессионально-общественной аккредитации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Координационными советами УМО и ФУМО по актуализации и экспертизе ФГОС и ПООП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Актуализированные ФГОС, примерные основные образовательные программы прошедшие экспертизу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программного комплекса для образовательных организаций по проектированию образовательных программ разного уровня с учетом профессиональных стандартов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Разработана и апробирована программа для образовательных организаций.</w:t>
            </w:r>
          </w:p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выпускников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6C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2 экспериментальных площадок на базе образовательных организаций ВО и образовательных организаций СПО по отработке принятых ПООП, разработке ООП ОО с прим</w:t>
            </w:r>
            <w:r w:rsidR="00B3400F">
              <w:rPr>
                <w:rFonts w:ascii="Times New Roman" w:hAnsi="Times New Roman" w:cs="Times New Roman"/>
                <w:sz w:val="24"/>
              </w:rPr>
              <w:t xml:space="preserve">енением программного комплекса 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опорных вузов - партнеров СПК, по выработке политики,  методического и методологического сопровождения образовательных организаций реализующих программы по данным направлениям, в свете новой парадигмы образования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AC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F53AC7" w:rsidRDefault="00F53AC7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6.5.</w:t>
            </w:r>
          </w:p>
        </w:tc>
        <w:tc>
          <w:tcPr>
            <w:tcW w:w="2601" w:type="dxa"/>
            <w:vMerge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конференции по вопросам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 проектировании образовательных программ</w:t>
            </w:r>
          </w:p>
        </w:tc>
        <w:tc>
          <w:tcPr>
            <w:tcW w:w="4111" w:type="dxa"/>
            <w:vAlign w:val="center"/>
          </w:tcPr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Тиражирование результатов и опыта внедрения</w:t>
            </w:r>
          </w:p>
          <w:p w:rsidR="00F53AC7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 проектировании образовательных программ</w:t>
            </w:r>
          </w:p>
        </w:tc>
        <w:tc>
          <w:tcPr>
            <w:tcW w:w="1417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F53AC7" w:rsidRPr="003F0290" w:rsidRDefault="00F53AC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0D4137" w:rsidRPr="003F0290" w:rsidTr="00F53AC7">
        <w:trPr>
          <w:tblHeader/>
          <w:jc w:val="center"/>
        </w:trPr>
        <w:tc>
          <w:tcPr>
            <w:tcW w:w="518" w:type="dxa"/>
            <w:vAlign w:val="center"/>
          </w:tcPr>
          <w:p w:rsidR="000D4137" w:rsidRDefault="001E1656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A1E1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1" w:type="dxa"/>
            <w:vAlign w:val="center"/>
          </w:tcPr>
          <w:p w:rsidR="000D4137" w:rsidRPr="003F0290" w:rsidRDefault="007A1E15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выявления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новых, развити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перспективных и актуализаци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традиционных профессий с учетом внедрения современных технологий</w:t>
            </w:r>
          </w:p>
        </w:tc>
        <w:tc>
          <w:tcPr>
            <w:tcW w:w="4654" w:type="dxa"/>
            <w:gridSpan w:val="2"/>
            <w:vAlign w:val="center"/>
          </w:tcPr>
          <w:p w:rsidR="00214972" w:rsidRDefault="00214972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</w:t>
            </w:r>
            <w:r w:rsidRPr="00F323AE">
              <w:rPr>
                <w:rFonts w:ascii="Times New Roman" w:hAnsi="Times New Roman" w:cs="Times New Roman"/>
                <w:sz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рынка труда, в том числе внедрения современных технологий для обновления на их основе национальной системы квалификаций</w:t>
            </w:r>
          </w:p>
          <w:p w:rsidR="000D4137" w:rsidRPr="003F0290" w:rsidRDefault="000D413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B7F70" w:rsidRDefault="004B7F70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37F6">
              <w:rPr>
                <w:rFonts w:ascii="Times New Roman" w:hAnsi="Times New Roman" w:cs="Times New Roman"/>
                <w:sz w:val="24"/>
              </w:rPr>
              <w:t>Актуализ</w:t>
            </w:r>
            <w:r>
              <w:rPr>
                <w:rFonts w:ascii="Times New Roman" w:hAnsi="Times New Roman" w:cs="Times New Roman"/>
                <w:sz w:val="24"/>
              </w:rPr>
              <w:t>ированы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E37F6">
              <w:rPr>
                <w:rFonts w:ascii="Times New Roman" w:hAnsi="Times New Roman" w:cs="Times New Roman"/>
                <w:sz w:val="24"/>
              </w:rPr>
              <w:t>, квалификаци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37F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оценочные средства,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федеральные государственные образовательные стандарты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и примерны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E37F6">
              <w:rPr>
                <w:rFonts w:ascii="Times New Roman" w:hAnsi="Times New Roman" w:cs="Times New Roman"/>
                <w:sz w:val="24"/>
              </w:rPr>
              <w:t xml:space="preserve"> для системы подготовки кадров в соответствии с динамикой рынка труда и требований к работникам</w:t>
            </w:r>
          </w:p>
          <w:p w:rsidR="000D4137" w:rsidRPr="003F0290" w:rsidRDefault="000D413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4137" w:rsidRPr="004B7F70" w:rsidRDefault="004B7F70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 квартал 2019</w:t>
            </w:r>
          </w:p>
        </w:tc>
        <w:tc>
          <w:tcPr>
            <w:tcW w:w="1905" w:type="dxa"/>
            <w:vAlign w:val="center"/>
          </w:tcPr>
          <w:p w:rsidR="000D4137" w:rsidRPr="003F0290" w:rsidRDefault="000D4137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2DF0" w:rsidRDefault="00832DF0"/>
    <w:sectPr w:rsidR="00832DF0" w:rsidSect="000D4137">
      <w:headerReference w:type="default" r:id="rId8"/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42" w:rsidRDefault="00FC7D42" w:rsidP="005D6AAC">
      <w:pPr>
        <w:spacing w:after="0" w:line="240" w:lineRule="auto"/>
      </w:pPr>
      <w:r>
        <w:separator/>
      </w:r>
    </w:p>
  </w:endnote>
  <w:endnote w:type="continuationSeparator" w:id="0">
    <w:p w:rsidR="00FC7D42" w:rsidRDefault="00FC7D42" w:rsidP="005D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42" w:rsidRDefault="00FC7D42" w:rsidP="005D6AAC">
      <w:pPr>
        <w:spacing w:after="0" w:line="240" w:lineRule="auto"/>
      </w:pPr>
      <w:r>
        <w:separator/>
      </w:r>
    </w:p>
  </w:footnote>
  <w:footnote w:type="continuationSeparator" w:id="0">
    <w:p w:rsidR="00FC7D42" w:rsidRDefault="00FC7D42" w:rsidP="005D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5"/>
      <w:gridCol w:w="9836"/>
      <w:gridCol w:w="2006"/>
    </w:tblGrid>
    <w:tr w:rsidR="005D6AAC" w:rsidTr="00823B13">
      <w:trPr>
        <w:trHeight w:val="897"/>
      </w:trPr>
      <w:tc>
        <w:tcPr>
          <w:tcW w:w="3205" w:type="dxa"/>
          <w:tcBorders>
            <w:bottom w:val="thickThinSmallGap" w:sz="24" w:space="0" w:color="auto"/>
          </w:tcBorders>
          <w:vAlign w:val="center"/>
          <w:hideMark/>
        </w:tcPr>
        <w:p w:rsidR="005D6AAC" w:rsidRDefault="005D6AAC" w:rsidP="005D6AAC">
          <w:pPr>
            <w:ind w:left="-105" w:right="-8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6976" behindDoc="0" locked="0" layoutInCell="1" allowOverlap="1" wp14:anchorId="6B1C5DBF" wp14:editId="3A454E11">
                <wp:simplePos x="0" y="0"/>
                <wp:positionH relativeFrom="column">
                  <wp:posOffset>440055</wp:posOffset>
                </wp:positionH>
                <wp:positionV relativeFrom="paragraph">
                  <wp:posOffset>6985</wp:posOffset>
                </wp:positionV>
                <wp:extent cx="714375" cy="542925"/>
                <wp:effectExtent l="0" t="0" r="9525" b="9525"/>
                <wp:wrapNone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8" t="12766" b="12766"/>
                        <a:stretch/>
                      </pic:blipFill>
                      <pic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36" w:type="dxa"/>
          <w:tcBorders>
            <w:bottom w:val="thickThinSmallGap" w:sz="24" w:space="0" w:color="auto"/>
          </w:tcBorders>
          <w:vAlign w:val="center"/>
          <w:hideMark/>
        </w:tcPr>
        <w:p w:rsidR="005D6AAC" w:rsidRDefault="005D6AAC" w:rsidP="005D6AAC">
          <w:pPr>
            <w:spacing w:after="0" w:line="240" w:lineRule="auto"/>
            <w:ind w:left="-108" w:right="-7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>Совет по профессиональным квалификациям в области обеспечения безопасности в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>чрезвычайных ситуациях</w:t>
          </w:r>
        </w:p>
      </w:tc>
      <w:tc>
        <w:tcPr>
          <w:tcW w:w="2006" w:type="dxa"/>
          <w:tcBorders>
            <w:bottom w:val="thickThinSmallGap" w:sz="24" w:space="0" w:color="auto"/>
          </w:tcBorders>
          <w:vAlign w:val="center"/>
        </w:tcPr>
        <w:p w:rsidR="005D6AAC" w:rsidRDefault="005D6AAC" w:rsidP="005D6AAC">
          <w:pPr>
            <w:spacing w:after="0" w:line="240" w:lineRule="auto"/>
            <w:ind w:left="-108" w:right="-7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5D6AAC" w:rsidRPr="005D6AAC" w:rsidRDefault="005D6AAC" w:rsidP="005D6AAC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6B51"/>
    <w:multiLevelType w:val="hybridMultilevel"/>
    <w:tmpl w:val="A6A6D732"/>
    <w:lvl w:ilvl="0" w:tplc="4334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2048"/>
    <w:multiLevelType w:val="hybridMultilevel"/>
    <w:tmpl w:val="9CAACACC"/>
    <w:lvl w:ilvl="0" w:tplc="43349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C"/>
    <w:rsid w:val="000B7D24"/>
    <w:rsid w:val="000D4137"/>
    <w:rsid w:val="00125442"/>
    <w:rsid w:val="00157568"/>
    <w:rsid w:val="001C60AA"/>
    <w:rsid w:val="001E1656"/>
    <w:rsid w:val="00214972"/>
    <w:rsid w:val="002749BF"/>
    <w:rsid w:val="002B0F2F"/>
    <w:rsid w:val="002E3772"/>
    <w:rsid w:val="00327C85"/>
    <w:rsid w:val="004B7F70"/>
    <w:rsid w:val="00510DF1"/>
    <w:rsid w:val="005227C3"/>
    <w:rsid w:val="005D6AAC"/>
    <w:rsid w:val="00627088"/>
    <w:rsid w:val="00685DC5"/>
    <w:rsid w:val="006916D1"/>
    <w:rsid w:val="006C03D3"/>
    <w:rsid w:val="007A1E15"/>
    <w:rsid w:val="00823B13"/>
    <w:rsid w:val="008318F0"/>
    <w:rsid w:val="00832DF0"/>
    <w:rsid w:val="00877E82"/>
    <w:rsid w:val="008C787C"/>
    <w:rsid w:val="008F077F"/>
    <w:rsid w:val="008F43DE"/>
    <w:rsid w:val="00913179"/>
    <w:rsid w:val="00A00998"/>
    <w:rsid w:val="00A705E7"/>
    <w:rsid w:val="00AD2F51"/>
    <w:rsid w:val="00B26FA7"/>
    <w:rsid w:val="00B3400F"/>
    <w:rsid w:val="00C06DA4"/>
    <w:rsid w:val="00C210DD"/>
    <w:rsid w:val="00C811BF"/>
    <w:rsid w:val="00CB3575"/>
    <w:rsid w:val="00CD601D"/>
    <w:rsid w:val="00DC10D0"/>
    <w:rsid w:val="00E0119C"/>
    <w:rsid w:val="00EF571D"/>
    <w:rsid w:val="00F228A9"/>
    <w:rsid w:val="00F53AC7"/>
    <w:rsid w:val="00FC0287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AA4F1-794D-432C-82C0-7DE85DB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AAC"/>
  </w:style>
  <w:style w:type="paragraph" w:styleId="a7">
    <w:name w:val="footer"/>
    <w:basedOn w:val="a"/>
    <w:link w:val="a8"/>
    <w:uiPriority w:val="99"/>
    <w:unhideWhenUsed/>
    <w:rsid w:val="005D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AAC"/>
  </w:style>
  <w:style w:type="table" w:styleId="a9">
    <w:name w:val="Table Grid"/>
    <w:basedOn w:val="a1"/>
    <w:uiPriority w:val="59"/>
    <w:rsid w:val="005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8DE6-60B4-4A3B-BE3E-A07CB79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2018-10-08T12:33:00Z</cp:lastPrinted>
  <dcterms:created xsi:type="dcterms:W3CDTF">2018-10-04T14:12:00Z</dcterms:created>
  <dcterms:modified xsi:type="dcterms:W3CDTF">2018-10-08T15:13:00Z</dcterms:modified>
</cp:coreProperties>
</file>